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MATH5835M</w:t>
      </w:r>
      <w:r>
        <w:t xml:space="preserve"> </w:t>
      </w:r>
      <w:r>
        <w:t xml:space="preserve">Practical</w:t>
      </w:r>
      <w:r>
        <w:t xml:space="preserve"> </w:t>
      </w:r>
      <w:r>
        <w:t xml:space="preserve">Solutions</w:t>
      </w:r>
    </w:p>
    <w:p>
      <w:pPr>
        <w:pStyle w:val="Author"/>
      </w:pPr>
      <w:r>
        <w:t xml:space="preserve">Jochen</w:t>
      </w:r>
      <w:r>
        <w:t xml:space="preserve"> </w:t>
      </w:r>
      <w:r>
        <w:t xml:space="preserve">Voss</w:t>
      </w:r>
    </w:p>
    <w:p>
      <w:pPr>
        <w:pStyle w:val="Date"/>
      </w:pPr>
      <w:r>
        <w:t xml:space="preserve">2023-12-12</w:t>
      </w:r>
    </w:p>
    <w:p>
      <w:pPr>
        <w:pStyle w:val="FirstParagraph"/>
      </w:pPr>
      <w:r>
        <w:t xml:space="preserve">These are example solutions for the statistical computing practical, together</w:t>
      </w:r>
      <w:r>
        <w:t xml:space="preserve"> </w:t>
      </w:r>
      <w:r>
        <w:t xml:space="preserve">with a marking scheme.</w:t>
      </w:r>
    </w:p>
    <w:bookmarkStart w:id="20" w:name="task-1"/>
    <w:p>
      <w:pPr>
        <w:pStyle w:val="Heading2"/>
      </w:pPr>
      <w:r>
        <w:t xml:space="preserve">Task 1</w:t>
      </w:r>
    </w:p>
    <w:p>
      <w:pPr>
        <w:pStyle w:val="FirstParagraph"/>
      </w:pPr>
      <w:r>
        <w:t xml:space="preserve">If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the wind speed (in miles per hour), then the Monte Carlo Estimate</w:t>
      </w:r>
      <w:r>
        <w:t xml:space="preserve"> </w:t>
      </w:r>
      <w:r>
        <w:t xml:space="preserve">for the probability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≥</m:t>
            </m:r>
            <m:r>
              <m:t>40</m:t>
            </m:r>
          </m:e>
        </m:d>
      </m:oMath>
      <w:r>
        <w:t xml:space="preserve"> </w:t>
      </w:r>
      <w:r>
        <w:t xml:space="preserve">is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t>p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j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b>
                <m:e>
                  <m:r>
                    <m:t>1</m:t>
                  </m:r>
                </m:e>
                <m:sub>
                  <m:r>
                    <m:rPr>
                      <m:sty m:val="p"/>
                    </m:rPr>
                    <m:t>[</m:t>
                  </m:r>
                  <m:r>
                    <m:t>40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sty m:val="p"/>
                    </m:rPr>
                    <m:t>∞</m:t>
                  </m:r>
                  <m:r>
                    <m:rPr>
                      <m:sty m:val="p"/>
                    </m:rPr>
                    <m:t>)</m:t>
                  </m:r>
                </m:sub>
              </m:sSub>
            </m:e>
          </m:nary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X</m:t>
                  </m:r>
                </m:e>
                <m:sub>
                  <m:r>
                    <m:t>j</m:t>
                  </m:r>
                </m:sub>
              </m:sSub>
            </m:e>
          </m:d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 the</w:t>
      </w:r>
      <w:r>
        <w:t xml:space="preserve"> </w:t>
      </w:r>
      <m:oMath>
        <m:sSub>
          <m:e>
            <m:r>
              <m:t>X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are i.i.d. copies of</w:t>
      </w:r>
      <w:r>
        <w:t xml:space="preserve"> </w:t>
      </w:r>
      <m:oMath>
        <m:r>
          <m:t>X</m:t>
        </m:r>
      </m:oMath>
      <w:r>
        <w:t xml:space="preserve">. We can use the following R code</w:t>
      </w:r>
      <w:r>
        <w:t xml:space="preserve"> </w:t>
      </w:r>
      <w:r>
        <w:t xml:space="preserve">to compute this estimate. This uses the function</w:t>
      </w:r>
      <w:r>
        <w:t xml:space="preserve"> </w:t>
      </w:r>
      <w:r>
        <w:rPr>
          <w:rStyle w:val="VerbatimChar"/>
        </w:rPr>
        <w:t xml:space="preserve">wind_speed()</w:t>
      </w:r>
      <w:r>
        <w:t xml:space="preserve"> </w:t>
      </w:r>
      <w:r>
        <w:t xml:space="preserve">given on</w:t>
      </w:r>
      <w:r>
        <w:t xml:space="preserve"> </w:t>
      </w:r>
      <w:r>
        <w:t xml:space="preserve">the practical task sheet.</w:t>
      </w:r>
    </w:p>
    <w:p>
      <w:pPr>
        <w:pStyle w:val="SourceCode"/>
      </w:pPr>
      <w:r>
        <w:rPr>
          <w:rStyle w:val="NormalTok"/>
        </w:rPr>
        <w:t xml:space="preserve">wind_speed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(n, w, mu, sigma) {</w:t>
      </w:r>
      <w:r>
        <w:br/>
      </w:r>
      <w:r>
        <w:rPr>
          <w:rStyle w:val="NormalTok"/>
        </w:rPr>
        <w:t xml:space="preserve">    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(w)</w:t>
      </w:r>
      <w:r>
        <w:br/>
      </w:r>
      <w:r>
        <w:rPr>
          <w:rStyle w:val="NormalTok"/>
        </w:rPr>
        <w:t xml:space="preserve">    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(k, n, </w:t>
      </w:r>
      <w:r>
        <w:rPr>
          <w:rStyle w:val="AttributeTok"/>
        </w:rPr>
        <w:t xml:space="preserve">replace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prob =</w:t>
      </w:r>
      <w:r>
        <w:rPr>
          <w:rStyle w:val="NormalTok"/>
        </w:rPr>
        <w:t xml:space="preserve"> w)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rlnorm</w:t>
      </w:r>
      <w:r>
        <w:rPr>
          <w:rStyle w:val="NormalTok"/>
        </w:rPr>
        <w:t xml:space="preserve">(n, mu[i], sigma[i])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mu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1.6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sigma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1e6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wind_speed</w:t>
      </w:r>
      <w:r>
        <w:rPr>
          <w:rStyle w:val="NormalTok"/>
        </w:rPr>
        <w:t xml:space="preserve">(N, w, mu, sigma)</w:t>
      </w:r>
      <w:r>
        <w:br/>
      </w:r>
      <w:r>
        <w:rPr>
          <w:rStyle w:val="NormalTok"/>
        </w:rPr>
        <w:t xml:space="preserve">p.MC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 </w:t>
      </w:r>
      <w:r>
        <w:rPr>
          <w:rStyle w:val="SpecialCha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p.MC</w:t>
      </w:r>
    </w:p>
    <w:p>
      <w:pPr>
        <w:pStyle w:val="SourceCode"/>
      </w:pPr>
      <w:r>
        <w:rPr>
          <w:rStyle w:val="VerbatimChar"/>
        </w:rPr>
        <w:t xml:space="preserve">## [1] 0.000756</w:t>
      </w:r>
    </w:p>
    <w:p>
      <w:pPr>
        <w:pStyle w:val="FirstParagraph"/>
      </w:pPr>
      <w:r>
        <w:t xml:space="preserve">Here we used, somewhat arbitrarily,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6</m:t>
            </m:r>
          </m:sup>
        </m:sSup>
      </m:oMath>
      <w:r>
        <w:t xml:space="preserve">. We will revisit this choice</w:t>
      </w:r>
      <w:r>
        <w:t xml:space="preserve"> </w:t>
      </w:r>
      <w:r>
        <w:t xml:space="preserve">of </w:t>
      </w:r>
      <m:oMath>
        <m:r>
          <m:t>N</m:t>
        </m:r>
      </m:oMath>
      <w:r>
        <w:t xml:space="preserve"> </w:t>
      </w:r>
      <w:r>
        <w:t xml:space="preserve">below.</w:t>
      </w:r>
      <w:r>
        <w:t xml:space="preserve"> </w:t>
      </w:r>
      <w:r>
        <w:t xml:space="preserve">The R output shows that the computed estimate is</w:t>
      </w:r>
      <w:r>
        <w:t xml:space="preserve"> </w:t>
      </w:r>
      <m:oMath>
        <m:acc>
          <m:accPr>
            <m:chr m:val="̂"/>
          </m:accPr>
          <m:e>
            <m:r>
              <m:t>p</m:t>
            </m:r>
          </m:e>
        </m:acc>
        <m:r>
          <m:rPr>
            <m:sty m:val="p"/>
          </m:rPr>
          <m:t>=</m:t>
        </m:r>
        <m:r>
          <m:t>0.000756</m:t>
        </m:r>
        <m:r>
          <m:rPr>
            <m:sty m:val="p"/>
          </m:rPr>
          <m:t>=</m:t>
        </m:r>
        <m:r>
          <m:t>7.56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rPr>
                <m:sty m:val="p"/>
              </m:rPr>
              <m:t>−</m:t>
            </m:r>
            <m:r>
              <m:t>4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The Root Mean Squared Error (RMSE) for this estimator is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R</m:t>
          </m:r>
          <m:r>
            <m:rPr>
              <m:sty m:val="p"/>
            </m:rPr>
            <m:t>M</m:t>
          </m:r>
          <m:r>
            <m:rPr>
              <m:sty m:val="p"/>
            </m:rPr>
            <m:t>S</m:t>
          </m:r>
          <m:r>
            <m:rPr>
              <m:sty m:val="p"/>
            </m:rPr>
            <m:t>E</m:t>
          </m:r>
          <m:d>
            <m:dPr>
              <m:begChr m:val="("/>
              <m:endChr m:val=")"/>
              <m:sepChr m:val=""/>
              <m:grow/>
            </m:dPr>
            <m:e>
              <m:acc>
                <m:accPr>
                  <m:chr m:val="̂"/>
                </m:accPr>
                <m:e>
                  <m:r>
                    <m:t>p</m:t>
                  </m:r>
                </m:e>
              </m:acc>
            </m:e>
          </m:d>
          <m:r>
            <m:rPr>
              <m:sty m:val="p"/>
            </m:rPr>
            <m:t>=</m:t>
          </m:r>
          <m:rad>
            <m:radPr>
              <m:degHide m:val="on"/>
            </m:radPr>
            <m:deg/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V</m:t>
                  </m:r>
                  <m:r>
                    <m:rPr>
                      <m:sty m:val="p"/>
                    </m:rPr>
                    <m:t>a</m:t>
                  </m:r>
                  <m:r>
                    <m:rPr>
                      <m:sty m:val="p"/>
                    </m:rPr>
                    <m:t>r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1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[</m:t>
                          </m:r>
                          <m:r>
                            <m:t>40</m:t>
                          </m:r>
                          <m:r>
                            <m:rPr>
                              <m:sty m:val="p"/>
                            </m:rPr>
                            <m:t>,</m:t>
                          </m:r>
                          <m:r>
                            <m:rPr>
                              <m:sty m:val="p"/>
                            </m:rPr>
                            <m:t>∞</m:t>
                          </m:r>
                          <m:r>
                            <m:rPr>
                              <m:sty m:val="p"/>
                            </m:rPr>
                            <m:t>)</m:t>
                          </m:r>
                        </m:sub>
                      </m:sSub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X</m:t>
                          </m:r>
                        </m:e>
                      </m:d>
                    </m:e>
                  </m:d>
                </m:num>
                <m:den>
                  <m:r>
                    <m:t>N</m:t>
                  </m:r>
                </m:den>
              </m:f>
            </m:e>
          </m:rad>
        </m:oMath>
      </m:oMathPara>
    </w:p>
    <w:p>
      <w:pPr>
        <w:pStyle w:val="FirstParagraph"/>
      </w:pPr>
      <w:r>
        <w:t xml:space="preserve">where the variance can be approximated using the sample variance of the</w:t>
      </w:r>
      <w:r>
        <w:t xml:space="preserve"> </w:t>
      </w:r>
      <w:r>
        <w:t xml:space="preserve">samples already used in the Monte Carlo Estimate:</w:t>
      </w:r>
    </w:p>
    <w:p>
      <w:pPr>
        <w:pStyle w:val="SourceCode"/>
      </w:pPr>
      <w:r>
        <w:rPr>
          <w:rStyle w:val="NormalTok"/>
        </w:rPr>
        <w:t xml:space="preserve">RMSE.MC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(X </w:t>
      </w:r>
      <w:r>
        <w:rPr>
          <w:rStyle w:val="SpecialCha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N)</w:t>
      </w:r>
      <w:r>
        <w:br/>
      </w:r>
      <w:r>
        <w:rPr>
          <w:rStyle w:val="NormalTok"/>
        </w:rPr>
        <w:t xml:space="preserve">RMSE.MC</w:t>
      </w:r>
    </w:p>
    <w:p>
      <w:pPr>
        <w:pStyle w:val="SourceCode"/>
      </w:pPr>
      <w:r>
        <w:rPr>
          <w:rStyle w:val="VerbatimChar"/>
        </w:rPr>
        <w:t xml:space="preserve">## [1] 2.748507e-05</w:t>
      </w:r>
    </w:p>
    <w:p>
      <w:pPr>
        <w:pStyle w:val="FirstParagraph"/>
      </w:pPr>
      <w:r>
        <w:t xml:space="preserve">Thus, the RMSE is approximately</w:t>
      </w:r>
      <w:r>
        <w:t xml:space="preserve"> </w:t>
      </w:r>
      <m:oMath>
        <m:r>
          <m:t>2.75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rPr>
                <m:sty m:val="p"/>
              </m:rPr>
              <m:t>−</m:t>
            </m:r>
            <m:r>
              <m:t>5</m:t>
            </m:r>
          </m:sup>
        </m:sSup>
      </m:oMath>
      <w:r>
        <w:t xml:space="preserve">.</w:t>
      </w:r>
      <w:r>
        <w:t xml:space="preserve"> </w:t>
      </w:r>
      <w:r>
        <w:t xml:space="preserve">We have</w:t>
      </w:r>
      <w:r>
        <w:t xml:space="preserve"> </w:t>
      </w:r>
      <m:oMath>
        <m:r>
          <m:rPr>
            <m:sty m:val="p"/>
          </m:rPr>
          <m:t>R</m:t>
        </m:r>
        <m:r>
          <m:rPr>
            <m:sty m:val="p"/>
          </m:rPr>
          <m:t>M</m:t>
        </m:r>
        <m:r>
          <m:rPr>
            <m:sty m:val="p"/>
          </m:rPr>
          <m:t>S</m:t>
        </m:r>
        <m:r>
          <m:rPr>
            <m:sty m:val="p"/>
          </m:rPr>
          <m:t>E</m:t>
        </m:r>
        <m:d>
          <m:dPr>
            <m:begChr m:val="("/>
            <m:endChr m:val=")"/>
            <m:sepChr m:val=""/>
            <m:grow/>
          </m:dPr>
          <m:e>
            <m:acc>
              <m:accPr>
                <m:chr m:val="̂"/>
              </m:accPr>
              <m:e>
                <m:r>
                  <m:t>p</m:t>
                </m:r>
              </m:e>
            </m:acc>
          </m:e>
        </m:d>
        <m:r>
          <m:rPr>
            <m:sty m:val="p"/>
          </m:rPr>
          <m:t>/</m:t>
        </m:r>
        <m:acc>
          <m:accPr>
            <m:chr m:val="̂"/>
          </m:accPr>
          <m:e>
            <m:r>
              <m:t>p</m:t>
            </m:r>
          </m:e>
        </m:acc>
        <m:r>
          <m:rPr>
            <m:sty m:val="p"/>
          </m:rPr>
          <m:t>=</m:t>
        </m:r>
        <m:r>
          <m:t>0.036</m:t>
        </m:r>
      </m:oMath>
      <w:r>
        <w:t xml:space="preserve">,</w:t>
      </w:r>
      <w:r>
        <w:t xml:space="preserve"> </w:t>
      </w:r>
      <w:r>
        <w:rPr>
          <w:i/>
          <w:iCs/>
        </w:rPr>
        <w:t xml:space="preserve">i.e.</w:t>
      </w:r>
      <w:r>
        <w:t xml:space="preserve"> </w:t>
      </w:r>
      <w:r>
        <w:t xml:space="preserve">the RMSE is nearly</w:t>
      </w:r>
      <w:r>
        <w:t xml:space="preserve"> </w:t>
      </w:r>
      <m:oMath>
        <m:r>
          <m:t>4</m:t>
        </m:r>
        <m:r>
          <m:rPr>
            <m:sty m:val="p"/>
          </m:rPr>
          <m:t>%</m:t>
        </m:r>
      </m:oMath>
      <w:r>
        <w:t xml:space="preserve"> </w:t>
      </w:r>
      <w:r>
        <w:t xml:space="preserve">of the estimated value.</w:t>
      </w:r>
      <w:r>
        <w:t xml:space="preserve"> </w:t>
      </w:r>
      <w:r>
        <w:t xml:space="preserve">One could try to reduce the RMSE by increasing</w:t>
      </w:r>
      <w:r>
        <w:t xml:space="preserve"> </w:t>
      </w:r>
      <m:oMath>
        <m:r>
          <m:t>N</m:t>
        </m:r>
      </m:oMath>
      <w:r>
        <w:t xml:space="preserve">, but since we</w:t>
      </w:r>
      <w:r>
        <w:t xml:space="preserve"> </w:t>
      </w:r>
      <w:r>
        <w:t xml:space="preserve">will try an improved method to estimate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in the next task,</w:t>
      </w:r>
      <w:r>
        <w:t xml:space="preserve"> </w:t>
      </w:r>
      <w:r>
        <w:t xml:space="preserve">we here accept this estimate as being `good enough’.</w:t>
      </w:r>
    </w:p>
    <w:p>
      <w:pPr>
        <w:pStyle w:val="BodyText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p>
      <w:pPr>
        <w:pStyle w:val="FirstParagraph"/>
      </w:pPr>
      <w:r>
        <w:rPr>
          <w:b/>
          <w:bCs/>
        </w:rPr>
        <w:t xml:space="preserve">Marking criteria:</w:t>
      </w:r>
    </w:p>
    <w:p>
      <w:pPr>
        <w:pStyle w:val="Compact"/>
        <w:numPr>
          <w:ilvl w:val="0"/>
          <w:numId w:val="1001"/>
        </w:numPr>
      </w:pPr>
      <w:r>
        <w:t xml:space="preserve">The estimate is computed correctly.</w:t>
      </w:r>
    </w:p>
    <w:p>
      <w:pPr>
        <w:pStyle w:val="Compact"/>
        <w:numPr>
          <w:ilvl w:val="0"/>
          <w:numId w:val="1001"/>
        </w:numPr>
      </w:pPr>
      <w:r>
        <w:t xml:space="preserve">The RMSE is computed correctly.</w:t>
      </w:r>
    </w:p>
    <w:p>
      <w:pPr>
        <w:pStyle w:val="Compact"/>
        <w:numPr>
          <w:ilvl w:val="0"/>
          <w:numId w:val="1001"/>
        </w:numPr>
      </w:pPr>
      <w:r>
        <w:t xml:space="preserve">There is some (possibly very short) discussion about how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was chosen.</w:t>
      </w:r>
    </w:p>
    <w:p>
      <w:pPr>
        <w:pStyle w:val="FirstParagraph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bookmarkEnd w:id="20"/>
    <w:bookmarkStart w:id="30" w:name="task-2"/>
    <w:p>
      <w:pPr>
        <w:pStyle w:val="Heading2"/>
      </w:pPr>
      <w:r>
        <w:t xml:space="preserve">Task 2</w:t>
      </w:r>
    </w:p>
    <w:p>
      <w:pPr>
        <w:pStyle w:val="FirstParagraph"/>
      </w:pPr>
      <w:r>
        <w:t xml:space="preserve">The importance sampling estimate for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given by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acc>
                <m:accPr>
                  <m:chr m:val="̂"/>
                </m:accPr>
                <m:e>
                  <m:r>
                    <m:t>p</m:t>
                  </m:r>
                </m:e>
              </m:acc>
            </m:e>
            <m:sup>
              <m:r>
                <m:rPr>
                  <m:sty m:val="p"/>
                </m:rPr>
                <m:t>I</m:t>
              </m:r>
              <m:r>
                <m:rPr>
                  <m:sty m:val="p"/>
                </m:rPr>
                <m:t>S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j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b>
                <m:e>
                  <m:r>
                    <m:t>1</m:t>
                  </m:r>
                </m:e>
                <m:sub>
                  <m:r>
                    <m:rPr>
                      <m:sty m:val="p"/>
                    </m:rPr>
                    <m:t>[</m:t>
                  </m:r>
                  <m:r>
                    <m:t>40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sty m:val="p"/>
                    </m:rPr>
                    <m:t>∞</m:t>
                  </m:r>
                  <m:r>
                    <m:rPr>
                      <m:sty m:val="p"/>
                    </m:rPr>
                    <m:t>)</m:t>
                  </m:r>
                </m:sub>
              </m:sSub>
            </m:e>
          </m:nary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Y</m:t>
                  </m:r>
                </m:e>
                <m:sub>
                  <m:r>
                    <m:t>j</m:t>
                  </m:r>
                </m:sub>
              </m:sSub>
            </m:e>
          </m:d>
          <m:f>
            <m:fPr>
              <m:type m:val="bar"/>
            </m:fPr>
            <m:num>
              <m:r>
                <m:t>ϕ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j</m:t>
                      </m:r>
                    </m:sub>
                  </m:sSub>
                </m:e>
              </m:d>
            </m:num>
            <m:den>
              <m:r>
                <m:t>ψ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j</m:t>
                      </m:r>
                    </m:sub>
                  </m:sSub>
                </m:e>
              </m:d>
            </m:den>
          </m:f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ϕ</m:t>
        </m:r>
      </m:oMath>
      <w:r>
        <w:t xml:space="preserve"> </w:t>
      </w:r>
      <w:r>
        <w:t xml:space="preserve">is the density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 the</w:t>
      </w:r>
      <w:r>
        <w:t xml:space="preserve"> </w:t>
      </w:r>
      <m:oMath>
        <m:sSub>
          <m:e>
            <m:r>
              <m:t>Y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are i.i.d. samples</w:t>
      </w:r>
      <w:r>
        <w:t xml:space="preserve"> </w:t>
      </w:r>
      <w:r>
        <w:t xml:space="preserve">with density </w:t>
      </w:r>
      <m:oMath>
        <m:r>
          <m:t>ψ</m:t>
        </m:r>
      </m:oMath>
      <w:r>
        <w:t xml:space="preserve">. The distribution of the samples</w:t>
      </w:r>
      <w:r>
        <w:t xml:space="preserve"> </w:t>
      </w:r>
      <m:oMath>
        <m:sSub>
          <m:e>
            <m:r>
              <m:t>Y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can be chosen</w:t>
      </w:r>
      <w:r>
        <w:t xml:space="preserve"> </w:t>
      </w:r>
      <w:r>
        <w:t xml:space="preserve">arbitrarily, as long as</w:t>
      </w:r>
      <w:r>
        <w:t xml:space="preserve"> </w:t>
      </w:r>
      <m:oMath>
        <m:r>
          <m:t>ψ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  <m:r>
          <m:rPr>
            <m:sty m:val="p"/>
          </m:rPr>
          <m:t>&gt;</m:t>
        </m:r>
        <m:r>
          <m:t>0</m:t>
        </m:r>
      </m:oMath>
      <w:r>
        <w:t xml:space="preserve"> </w:t>
      </w:r>
      <w:r>
        <w:t xml:space="preserve">for all</w:t>
      </w:r>
      <w:r>
        <w:t xml:space="preserve"> </w:t>
      </w:r>
      <m:oMath>
        <m:r>
          <m:t>y</m:t>
        </m:r>
        <m:r>
          <m:rPr>
            <m:sty m:val="p"/>
          </m:rPr>
          <m:t>≥</m:t>
        </m:r>
        <m:r>
          <m:t>40</m:t>
        </m:r>
      </m:oMath>
      <w:r>
        <w:t xml:space="preserve">, but the method is</w:t>
      </w:r>
      <w:r>
        <w:t xml:space="preserve"> </w:t>
      </w:r>
      <w:r>
        <w:t xml:space="preserve">most efficient if</w:t>
      </w:r>
      <w:r>
        <w:t xml:space="preserve"> </w:t>
      </w:r>
      <m:oMath>
        <m:r>
          <m:t>ψ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is approximately proportional to</w:t>
      </w:r>
      <w:r>
        <w:t xml:space="preserve"> </w:t>
      </w:r>
      <m:oMath>
        <m:sSub>
          <m:e>
            <m:r>
              <m:t>1</m:t>
            </m:r>
          </m:e>
          <m:sub>
            <m:r>
              <m:rPr>
                <m:sty m:val="p"/>
              </m:rPr>
              <m:t>[</m:t>
            </m:r>
            <m:r>
              <m:t>40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∞</m:t>
            </m:r>
            <m:r>
              <m:rPr>
                <m:sty m:val="p"/>
              </m:rPr>
              <m:t>)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  <m:r>
          <m:t>φ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.</w:t>
      </w:r>
    </w:p>
    <w:p>
      <w:pPr>
        <w:pStyle w:val="BodyText"/>
      </w:pPr>
      <w:r>
        <w:t xml:space="preserve">Here, the distribution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a mixture of log-normal distribution</w:t>
      </w:r>
      <w:r>
        <w:t xml:space="preserve"> </w:t>
      </w:r>
      <w:r>
        <w:t xml:space="preserve">and thus the density</w:t>
      </w:r>
      <w:r>
        <w:t xml:space="preserve"> </w:t>
      </w:r>
      <m:oMath>
        <m:r>
          <m:t>ϕ</m:t>
        </m:r>
      </m:oMath>
      <w:r>
        <w:t xml:space="preserve"> </w:t>
      </w:r>
      <w:r>
        <w:t xml:space="preserve">is</w:t>
      </w:r>
    </w:p>
    <w:p>
      <w:pPr>
        <w:pStyle w:val="BodyText"/>
      </w:pPr>
      <m:oMathPara>
        <m:oMathParaPr>
          <m:jc m:val="center"/>
        </m:oMathParaPr>
        <m:oMath>
          <m:r>
            <m:t>ϕ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k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3</m:t>
              </m:r>
            </m:sup>
            <m:e>
              <m:sSub>
                <m:e>
                  <m:r>
                    <m:t>w</m:t>
                  </m:r>
                </m:e>
                <m:sub>
                  <m:r>
                    <m:t>k</m:t>
                  </m:r>
                </m:sub>
              </m:sSub>
            </m:e>
          </m:nary>
          <m:r>
            <m:t>φ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;</m:t>
              </m:r>
              <m:sSub>
                <m:e>
                  <m:r>
                    <m:t>μ</m:t>
                  </m:r>
                </m:e>
                <m:sub>
                  <m:r>
                    <m:t>k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r>
                    <m:t>σ</m:t>
                  </m:r>
                </m:e>
                <m:sub>
                  <m:r>
                    <m:t>k</m:t>
                  </m:r>
                </m:sub>
              </m:sSub>
            </m:e>
          </m:d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φ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;</m:t>
            </m:r>
            <m:sSub>
              <m:e>
                <m:r>
                  <m:t>μ</m:t>
                </m:r>
              </m:e>
              <m:sub>
                <m:r>
                  <m:t>k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σ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is the density of the log-normal</w:t>
      </w:r>
      <w:r>
        <w:t xml:space="preserve"> </w:t>
      </w:r>
      <w:r>
        <w:t xml:space="preserve">distribution (given on the practical task sheet or available as</w:t>
      </w:r>
      <w:r>
        <w:t xml:space="preserve"> </w:t>
      </w:r>
      <w:r>
        <w:rPr>
          <w:rStyle w:val="VerbatimChar"/>
        </w:rPr>
        <w:t xml:space="preserve">dlnorm()</w:t>
      </w:r>
      <w:r>
        <w:t xml:space="preserve"> </w:t>
      </w:r>
      <w:r>
        <w:t xml:space="preserve">in</w:t>
      </w:r>
      <w:r>
        <w:t xml:space="preserve"> </w:t>
      </w:r>
      <w:r>
        <w:t xml:space="preserve">R). We can compute</w:t>
      </w:r>
      <w:r>
        <w:t xml:space="preserve"> </w:t>
      </w:r>
      <m:oMath>
        <m:r>
          <m:t>ϕ</m:t>
        </m:r>
      </m:oMath>
      <w:r>
        <w:t xml:space="preserve"> </w:t>
      </w:r>
      <w:r>
        <w:t xml:space="preserve">in R using the following function:</w:t>
      </w:r>
    </w:p>
    <w:p>
      <w:pPr>
        <w:pStyle w:val="SourceCode"/>
      </w:pPr>
      <w:r>
        <w:rPr>
          <w:rStyle w:val="NormalTok"/>
        </w:rPr>
        <w:t xml:space="preserve">phi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 {</w:t>
      </w:r>
      <w:r>
        <w:br/>
      </w:r>
      <w:r>
        <w:rPr>
          <w:rStyle w:val="NormalTok"/>
        </w:rPr>
        <w:t xml:space="preserve">    phi1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dlnorm</w:t>
      </w:r>
      <w:r>
        <w:rPr>
          <w:rStyle w:val="NormalTok"/>
        </w:rPr>
        <w:t xml:space="preserve">(x, mu[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sigma[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    phi2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dlnorm</w:t>
      </w:r>
      <w:r>
        <w:rPr>
          <w:rStyle w:val="NormalTok"/>
        </w:rPr>
        <w:t xml:space="preserve">(x, mu[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sigma[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    phi3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dlnorm</w:t>
      </w:r>
      <w:r>
        <w:rPr>
          <w:rStyle w:val="NormalTok"/>
        </w:rPr>
        <w:t xml:space="preserve">(x, mu[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sigma[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    w[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phi1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w[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phi2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w[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phi3</w:t>
      </w:r>
      <w:r>
        <w:br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Here is a plot of</w:t>
      </w:r>
      <w:r>
        <w:t xml:space="preserve"> </w:t>
      </w:r>
      <m:oMath>
        <m:r>
          <m:t>ϕ</m:t>
        </m:r>
      </m:oMath>
      <w:r>
        <w:t xml:space="preserve">: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length.out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FunctionTok"/>
        </w:rPr>
        <w:t xml:space="preserve">phi</w:t>
      </w:r>
      <w:r>
        <w:rPr>
          <w:rStyle w:val="NormalTok"/>
        </w:rPr>
        <w:t xml:space="preserve">(x),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pra_files/figure-docx/unnamed-chunk-5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And a plot of</w:t>
      </w:r>
      <w:r>
        <w:t xml:space="preserve"> </w:t>
      </w:r>
      <m:oMath>
        <m:sSub>
          <m:e>
            <m:r>
              <m:t>1</m:t>
            </m:r>
          </m:e>
          <m:sub>
            <m:r>
              <m:rPr>
                <m:sty m:val="p"/>
              </m:rPr>
              <m:t>[</m:t>
            </m:r>
            <m:r>
              <m:t>40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∞</m:t>
            </m:r>
            <m:r>
              <m:rPr>
                <m:sty m:val="p"/>
              </m:rPr>
              <m:t>)</m:t>
            </m:r>
          </m:sub>
        </m:sSub>
        <m:r>
          <m:t>ϕ</m:t>
        </m:r>
      </m:oMath>
      <w:r>
        <w:t xml:space="preserve">: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length.out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FunctionTok"/>
        </w:rPr>
        <w:t xml:space="preserve">phi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(x </w:t>
      </w:r>
      <w:r>
        <w:rPr>
          <w:rStyle w:val="SpecialCha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</w:t>
      </w:r>
      <w:r>
        <w:rPr>
          <w:rStyle w:val="NormalTok"/>
        </w:rPr>
        <w:t xml:space="preserve">[A](x)))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pra_files/figure-docx/unnamed-chunk-6-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second plot suggests that a good distribution for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might be</w:t>
      </w:r>
      <w:r>
        <w:t xml:space="preserve"> </w:t>
      </w:r>
      <w:r>
        <w:t xml:space="preserve">a shifted exponential distribution:</w:t>
      </w:r>
      <w:r>
        <w:t xml:space="preserve"> </w:t>
      </w:r>
      <m:oMath>
        <m:r>
          <m:t>Y</m:t>
        </m:r>
        <m:r>
          <m:rPr>
            <m:sty m:val="p"/>
          </m:rPr>
          <m:t>∼</m:t>
        </m:r>
        <m:r>
          <m:t>40</m:t>
        </m:r>
        <m:r>
          <m:rPr>
            <m:sty m:val="p"/>
          </m:rPr>
          <m:t>+</m:t>
        </m:r>
        <m:r>
          <m:rPr>
            <m:sty m:val="p"/>
          </m:rPr>
          <m:t>E</m:t>
        </m:r>
        <m:r>
          <m:rPr>
            <m:sty m:val="p"/>
          </m:rPr>
          <m:t>x</m:t>
        </m:r>
        <m:r>
          <m:rPr>
            <m:sty m:val="p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λ</m:t>
            </m:r>
          </m:e>
        </m:d>
      </m:oMath>
      <w:r>
        <w:t xml:space="preserve">.</w:t>
      </w:r>
      <w:r>
        <w:t xml:space="preserve"> </w:t>
      </w:r>
      <w:r>
        <w:t xml:space="preserve">Experiments, like in the following plot, show that</w:t>
      </w:r>
      <w:r>
        <w:t xml:space="preserve"> </w:t>
      </w:r>
      <m:oMath>
        <m:r>
          <m:t>λ</m:t>
        </m:r>
        <m:r>
          <m:rPr>
            <m:sty m:val="p"/>
          </m:rPr>
          <m:t>≈</m:t>
        </m:r>
        <m:r>
          <m:t>0.15</m:t>
        </m:r>
      </m:oMath>
      <w:r>
        <w:t xml:space="preserve"> </w:t>
      </w:r>
      <w:r>
        <w:t xml:space="preserve">might be a good choice of rate for the exponential distribution.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length.out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DecValTok"/>
        </w:rPr>
        <w:t xml:space="preserve">1500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phi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(x </w:t>
      </w:r>
      <w:r>
        <w:rPr>
          <w:rStyle w:val="SpecialCha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FunctionTok"/>
        </w:rPr>
        <w:t xml:space="preserve">dexp</w:t>
      </w:r>
      <w:r>
        <w:rPr>
          <w:rStyle w:val="NormalTok"/>
        </w:rPr>
        <w:t xml:space="preserve">(x</w:t>
      </w:r>
      <w:r>
        <w:rPr>
          <w:rStyle w:val="DecValTok"/>
        </w:rPr>
        <w:t xml:space="preserve">-40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rate=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"topright"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legend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(c </w:t>
      </w:r>
      <w:r>
        <w:rPr>
          <w:rStyle w:val="SpecialCharTok"/>
        </w:rPr>
        <w:t xml:space="preserve">%.%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phi</w:t>
      </w:r>
      <w:r>
        <w:rPr>
          <w:rStyle w:val="NormalTok"/>
        </w:rPr>
        <w:t xml:space="preserve">(x)),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psi</w:t>
      </w:r>
      <w:r>
        <w:rPr>
          <w:rStyle w:val="NormalTok"/>
        </w:rPr>
        <w:t xml:space="preserve">(x))),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pra_files/figure-docx/unnamed-chunk-7-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the plot the function</w:t>
      </w:r>
      <w:r>
        <w:t xml:space="preserve"> </w:t>
      </w:r>
      <m:oMath>
        <m:r>
          <m:t>ϕ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sSub>
          <m:e>
            <m:r>
              <m:t>1</m:t>
            </m:r>
          </m:e>
          <m:sub>
            <m:r>
              <m:rPr>
                <m:sty m:val="p"/>
              </m:rPr>
              <m:t>[</m:t>
            </m:r>
            <m:r>
              <m:t>40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∞</m:t>
            </m:r>
            <m:r>
              <m:rPr>
                <m:sty m:val="p"/>
              </m:rPr>
              <m:t>)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is scaled by the</w:t>
      </w:r>
      <w:r>
        <w:t xml:space="preserve"> </w:t>
      </w:r>
      <w:r>
        <w:t xml:space="preserve">(experimentally determined) factor</w:t>
      </w:r>
      <w:r>
        <w:t xml:space="preserve"> </w:t>
      </w:r>
      <m:oMath>
        <m:r>
          <m:t>1500</m:t>
        </m:r>
      </m:oMath>
      <w:r>
        <w:t xml:space="preserve"> </w:t>
      </w:r>
      <w:r>
        <w:t xml:space="preserve">to make it visible on the same</w:t>
      </w:r>
      <w:r>
        <w:t xml:space="preserve"> </w:t>
      </w:r>
      <w:r>
        <w:t xml:space="preserve">scale as the exponential density.</w:t>
      </w:r>
    </w:p>
    <w:p>
      <w:pPr>
        <w:pStyle w:val="BodyText"/>
      </w:pPr>
      <w:r>
        <w:t xml:space="preserve">The importance sampling estimate can be computed in R using code like the one</w:t>
      </w:r>
      <w:r>
        <w:t xml:space="preserve"> </w:t>
      </w:r>
      <w:r>
        <w:t xml:space="preserve">shown below. Since</w:t>
      </w:r>
      <w:r>
        <w:t xml:space="preserve"> </w:t>
      </w:r>
      <m:oMath>
        <m:r>
          <m:t>Y</m:t>
        </m:r>
        <m:r>
          <m:rPr>
            <m:sty m:val="p"/>
          </m:rPr>
          <m:t>≥</m:t>
        </m:r>
        <m:r>
          <m:t>40</m:t>
        </m:r>
      </m:oMath>
      <w:r>
        <w:t xml:space="preserve"> </w:t>
      </w:r>
      <w:r>
        <w:t xml:space="preserve">is automatically true here, it is not required</w:t>
      </w:r>
      <w:r>
        <w:t xml:space="preserve"> </w:t>
      </w:r>
      <w:r>
        <w:t xml:space="preserve">to include the indicator function in the R code.</w:t>
      </w:r>
    </w:p>
    <w:p>
      <w:pPr>
        <w:pStyle w:val="SourceCode"/>
      </w:pPr>
      <w:r>
        <w:rPr>
          <w:rStyle w:val="NormalTok"/>
        </w:rPr>
        <w:t xml:space="preserve">psi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 </w:t>
      </w:r>
      <w:r>
        <w:rPr>
          <w:rStyle w:val="FunctionTok"/>
        </w:rPr>
        <w:t xml:space="preserve">dexp</w:t>
      </w:r>
      <w:r>
        <w:rPr>
          <w:rStyle w:val="NormalTok"/>
        </w:rPr>
        <w:t xml:space="preserve">(x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rate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1e6</w:t>
      </w:r>
      <w:r>
        <w:br/>
      </w: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rexp</w:t>
      </w:r>
      <w:r>
        <w:rPr>
          <w:rStyle w:val="NormalTok"/>
        </w:rPr>
        <w:t xml:space="preserve">(N, </w:t>
      </w:r>
      <w:r>
        <w:rPr>
          <w:rStyle w:val="AttributeTok"/>
        </w:rPr>
        <w:t xml:space="preserve">rate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br/>
      </w:r>
      <w:r>
        <w:rPr>
          <w:rStyle w:val="NormalTok"/>
        </w:rPr>
        <w:t xml:space="preserve">p.IS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phi</w:t>
      </w:r>
      <w:r>
        <w:rPr>
          <w:rStyle w:val="NormalTok"/>
        </w:rPr>
        <w:t xml:space="preserve">(Y)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psi</w:t>
      </w:r>
      <w:r>
        <w:rPr>
          <w:rStyle w:val="NormalTok"/>
        </w:rPr>
        <w:t xml:space="preserve">(Y))</w:t>
      </w:r>
      <w:r>
        <w:br/>
      </w:r>
      <w:r>
        <w:rPr>
          <w:rStyle w:val="NormalTok"/>
        </w:rPr>
        <w:t xml:space="preserve">p.IS</w:t>
      </w:r>
    </w:p>
    <w:p>
      <w:pPr>
        <w:pStyle w:val="SourceCode"/>
      </w:pPr>
      <w:r>
        <w:rPr>
          <w:rStyle w:val="VerbatimChar"/>
        </w:rPr>
        <w:t xml:space="preserve">## [1] 0.0007621195</w:t>
      </w:r>
    </w:p>
    <w:p>
      <w:pPr>
        <w:pStyle w:val="FirstParagraph"/>
      </w:pPr>
      <w:r>
        <w:t xml:space="preserve">The result is very similar to the result from the basic Monte Carlo method,</w:t>
      </w:r>
      <w:r>
        <w:t xml:space="preserve"> </w:t>
      </w:r>
      <w:r>
        <w:t xml:space="preserve">so hopefully our implementation is correct.</w:t>
      </w:r>
    </w:p>
    <w:p>
      <w:pPr>
        <w:pStyle w:val="BodyText"/>
      </w:pPr>
      <w:r>
        <w:t xml:space="preserve">The root mean squared error for this estimate is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R</m:t>
          </m:r>
          <m:r>
            <m:rPr>
              <m:sty m:val="p"/>
            </m:rPr>
            <m:t>M</m:t>
          </m:r>
          <m:r>
            <m:rPr>
              <m:sty m:val="p"/>
            </m:rPr>
            <m:t>S</m:t>
          </m:r>
          <m:r>
            <m:rPr>
              <m:sty m:val="p"/>
            </m:rPr>
            <m:t>E</m:t>
          </m:r>
          <m:d>
            <m:dPr>
              <m:begChr m:val="("/>
              <m:endChr m:val=")"/>
              <m:sepChr m:val=""/>
              <m:grow/>
            </m:dPr>
            <m:e>
              <m:sSup>
                <m:e>
                  <m:acc>
                    <m:accPr>
                      <m:chr m:val="̂"/>
                    </m:accPr>
                    <m:e>
                      <m:r>
                        <m:t>p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m:t>I</m:t>
                  </m:r>
                  <m:r>
                    <m:rPr>
                      <m:sty m:val="p"/>
                    </m:rPr>
                    <m:t>S</m:t>
                  </m:r>
                </m:sup>
              </m:sSup>
            </m:e>
          </m:d>
          <m:r>
            <m:rPr>
              <m:sty m:val="p"/>
            </m:rPr>
            <m:t>=</m:t>
          </m:r>
          <m:rad>
            <m:radPr>
              <m:degHide m:val="on"/>
            </m:radPr>
            <m:deg/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N</m:t>
                  </m:r>
                </m:den>
              </m:f>
              <m:r>
                <m:rPr>
                  <m:sty m:val="p"/>
                </m:rPr>
                <m:t>V</m:t>
              </m:r>
              <m:r>
                <m:rPr>
                  <m:sty m:val="p"/>
                </m:rPr>
                <m:t>a</m:t>
              </m:r>
              <m:r>
                <m:rPr>
                  <m:sty m:val="p"/>
                </m:rPr>
                <m:t>r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1</m:t>
                      </m:r>
                    </m:e>
                    <m:sub>
                      <m:r>
                        <m:rPr>
                          <m:sty m:val="p"/>
                        </m:rPr>
                        <m:t>[</m:t>
                      </m:r>
                      <m:r>
                        <m:t>40</m:t>
                      </m:r>
                      <m:r>
                        <m:rPr>
                          <m:sty m:val="p"/>
                        </m:rPr>
                        <m:t>,</m:t>
                      </m:r>
                      <m:r>
                        <m:rPr>
                          <m:sty m:val="p"/>
                        </m:rPr>
                        <m:t>∞</m:t>
                      </m:r>
                      <m:r>
                        <m:rPr>
                          <m:sty m:val="p"/>
                        </m:rPr>
                        <m:t>)</m:t>
                      </m:r>
                    </m:sub>
                  </m:sSub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Y</m:t>
                      </m:r>
                    </m:e>
                  </m:d>
                  <m:f>
                    <m:fPr>
                      <m:type m:val="bar"/>
                    </m:fPr>
                    <m:num>
                      <m:r>
                        <m:t>ϕ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Y</m:t>
                          </m:r>
                        </m:e>
                      </m:d>
                    </m:num>
                    <m:den>
                      <m:r>
                        <m:t>ψ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Y</m:t>
                          </m:r>
                        </m:e>
                      </m:d>
                    </m:den>
                  </m:f>
                </m:e>
              </m:d>
            </m:e>
          </m:ra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Again, the variance in this formula can be approximated using the sample</w:t>
      </w:r>
      <w:r>
        <w:t xml:space="preserve"> </w:t>
      </w:r>
      <w:r>
        <w:t xml:space="preserve">variance of the samples used in the Importance Sampling Estimate:</w:t>
      </w:r>
    </w:p>
    <w:p>
      <w:pPr>
        <w:pStyle w:val="SourceCode"/>
      </w:pPr>
      <w:r>
        <w:rPr>
          <w:rStyle w:val="NormalTok"/>
        </w:rPr>
        <w:t xml:space="preserve">RMSE.IS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phi</w:t>
      </w:r>
      <w:r>
        <w:rPr>
          <w:rStyle w:val="NormalTok"/>
        </w:rPr>
        <w:t xml:space="preserve">(Y)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psi</w:t>
      </w:r>
      <w:r>
        <w:rPr>
          <w:rStyle w:val="NormalTok"/>
        </w:rPr>
        <w:t xml:space="preserve">(Y))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N)</w:t>
      </w:r>
      <w:r>
        <w:br/>
      </w:r>
      <w:r>
        <w:rPr>
          <w:rStyle w:val="NormalTok"/>
        </w:rPr>
        <w:t xml:space="preserve">RMSE.IS</w:t>
      </w:r>
    </w:p>
    <w:p>
      <w:pPr>
        <w:pStyle w:val="SourceCode"/>
      </w:pPr>
      <w:r>
        <w:rPr>
          <w:rStyle w:val="VerbatimChar"/>
        </w:rPr>
        <w:t xml:space="preserve">## [1] 5.250842e-07</w:t>
      </w:r>
    </w:p>
    <w:p>
      <w:pPr>
        <w:pStyle w:val="FirstParagraph"/>
      </w:pPr>
      <w:r>
        <w:t xml:space="preserve">We note that the error obtained here is very small compared to the estimate</w:t>
      </w:r>
      <w:r>
        <w:t xml:space="preserve"> </w:t>
      </w:r>
      <m:oMath>
        <m:acc>
          <m:accPr>
            <m:chr m:val="̂"/>
          </m:accPr>
          <m:e>
            <m:r>
              <m:t>p</m:t>
            </m:r>
          </m:e>
        </m:acc>
      </m:oMath>
      <w:r>
        <w:t xml:space="preserve">, so the chosen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was large enough.</w:t>
      </w:r>
    </w:p>
    <w:p>
      <w:pPr>
        <w:pStyle w:val="BodyText"/>
      </w:pPr>
      <w:r>
        <w:t xml:space="preserve">Since we used the same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for both estimates, the RMSE values are directly</w:t>
      </w:r>
      <w:r>
        <w:t xml:space="preserve"> </w:t>
      </w:r>
      <w:r>
        <w:t xml:space="preserve">comparable: For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6</m:t>
            </m:r>
          </m:sup>
        </m:sSup>
      </m:oMath>
      <w:r>
        <w:t xml:space="preserve"> </w:t>
      </w:r>
      <w:r>
        <w:t xml:space="preserve">the basic Monte Carlo method has RMSE</w:t>
      </w:r>
      <w:r>
        <w:t xml:space="preserve"> </w:t>
      </w:r>
      <m:oMath>
        <m:r>
          <m:t>2.75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rPr>
                <m:sty m:val="p"/>
              </m:rPr>
              <m:t>−</m:t>
            </m:r>
            <m:r>
              <m:t>5</m:t>
            </m:r>
          </m:sup>
        </m:sSup>
      </m:oMath>
      <w:r>
        <w:t xml:space="preserve"> </w:t>
      </w:r>
      <w:r>
        <w:t xml:space="preserve">and the Importance Sampling method has RMSE</w:t>
      </w:r>
      <w:r>
        <w:t xml:space="preserve"> </w:t>
      </w:r>
      <m:oMath>
        <m:r>
          <m:t>5.25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rPr>
                <m:sty m:val="p"/>
              </m:rPr>
              <m:t>−</m:t>
            </m:r>
            <m:r>
              <m:t>7</m:t>
            </m:r>
          </m:sup>
        </m:sSup>
      </m:oMath>
      <w:r>
        <w:t xml:space="preserve">.</w:t>
      </w:r>
      <w:r>
        <w:t xml:space="preserve"> </w:t>
      </w:r>
      <w:r>
        <w:t xml:space="preserve">Thus, for fixed sample size, Importance Sampling has considerably smaller error</w:t>
      </w:r>
      <w:r>
        <w:t xml:space="preserve"> </w:t>
      </w:r>
      <w:r>
        <w:t xml:space="preserve">than basic Monte Carlo or, conversely, the Importance Sampling needs much fewer</w:t>
      </w:r>
      <w:r>
        <w:t xml:space="preserve"> </w:t>
      </w:r>
      <w:r>
        <w:t xml:space="preserve">samples to achieve the same level of error than Monte Carlo.</w:t>
      </w:r>
    </w:p>
    <w:p>
      <w:pPr>
        <w:pStyle w:val="BodyText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p>
      <w:pPr>
        <w:pStyle w:val="FirstParagraph"/>
      </w:pPr>
      <w:r>
        <w:rPr>
          <w:b/>
          <w:bCs/>
        </w:rPr>
        <w:t xml:space="preserve">Marking Criteria:</w:t>
      </w:r>
    </w:p>
    <w:p>
      <w:pPr>
        <w:pStyle w:val="Compact"/>
        <w:numPr>
          <w:ilvl w:val="0"/>
          <w:numId w:val="1002"/>
        </w:numPr>
      </w:pPr>
      <w:r>
        <w:t xml:space="preserve">The density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determined correctly (this was not done in lectures,</w:t>
      </w:r>
      <w:r>
        <w:t xml:space="preserve"> </w:t>
      </w:r>
      <w:r>
        <w:t xml:space="preserve">so should get some credit)</w:t>
      </w:r>
    </w:p>
    <w:p>
      <w:pPr>
        <w:pStyle w:val="Compact"/>
        <w:numPr>
          <w:ilvl w:val="0"/>
          <w:numId w:val="1002"/>
        </w:numPr>
      </w:pPr>
      <w:r>
        <w:t xml:space="preserve">The estimate and RMSE are computed correctly.</w:t>
      </w:r>
    </w:p>
    <w:p>
      <w:pPr>
        <w:pStyle w:val="Compact"/>
        <w:numPr>
          <w:ilvl w:val="0"/>
          <w:numId w:val="1002"/>
        </w:numPr>
      </w:pPr>
      <w:r>
        <w:t xml:space="preserve">The distribution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chosen well and the choice is explained well.</w:t>
      </w:r>
    </w:p>
    <w:p>
      <w:pPr>
        <w:pStyle w:val="Compact"/>
        <w:numPr>
          <w:ilvl w:val="0"/>
          <w:numId w:val="1002"/>
        </w:numPr>
      </w:pPr>
      <w:r>
        <w:t xml:space="preserve">There is some (possibly very short) discussion about how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was chosen.</w:t>
      </w:r>
    </w:p>
    <w:p>
      <w:pPr>
        <w:pStyle w:val="Compact"/>
        <w:numPr>
          <w:ilvl w:val="0"/>
          <w:numId w:val="1002"/>
        </w:numPr>
      </w:pPr>
      <w:r>
        <w:t xml:space="preserve">There is some meaningful comparison of the RMSE for the two estimates.</w:t>
      </w:r>
    </w:p>
    <w:p>
      <w:pPr>
        <w:pStyle w:val="FirstParagraph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bookmarkEnd w:id="30"/>
    <w:bookmarkStart w:id="49" w:name="task-3"/>
    <w:p>
      <w:pPr>
        <w:pStyle w:val="Heading2"/>
      </w:pPr>
      <w:r>
        <w:t xml:space="preserve">Task 3</w:t>
      </w:r>
    </w:p>
    <w:p>
      <w:pPr>
        <w:pStyle w:val="FirstParagraph"/>
      </w:pPr>
      <w:r>
        <w:t xml:space="preserve">(Note that the roles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</m:oMath>
      <w:r>
        <w:t xml:space="preserve"> </w:t>
      </w:r>
      <w:r>
        <w:t xml:space="preserve">in the practical are swapped,</w:t>
      </w:r>
      <w:r>
        <w:t xml:space="preserve"> </w:t>
      </w:r>
      <w:r>
        <w:t xml:space="preserve">compared to the notation used in the book.)</w:t>
      </w:r>
    </w:p>
    <w:p>
      <w:pPr>
        <w:pStyle w:val="BodyText"/>
      </w:pPr>
      <w:r>
        <w:t xml:space="preserve">We can compute the non-normalised target density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</m:oMath>
      <w:r>
        <w:t xml:space="preserve"> </w:t>
      </w:r>
      <w:r>
        <w:t xml:space="preserve">in R as follows.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1.67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2.22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4.36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(s) </w:t>
      </w:r>
      <w:r>
        <w:rPr>
          <w:rStyle w:val="FunctionTok"/>
        </w:rPr>
        <w:t xml:space="preserve">dexp</w:t>
      </w:r>
      <w:r>
        <w:rPr>
          <w:rStyle w:val="NormalTok"/>
        </w:rPr>
        <w:t xml:space="preserve">(s)</w:t>
      </w:r>
      <w:r>
        <w:br/>
      </w:r>
      <w:r>
        <w:rPr>
          <w:rStyle w:val="NormalTok"/>
        </w:rPr>
        <w:t xml:space="preserve">tilde.f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(s) {</w:t>
      </w:r>
      <w:r>
        <w:br/>
      </w:r>
      <w:r>
        <w:rPr>
          <w:rStyle w:val="NormalTok"/>
        </w:rPr>
        <w:t xml:space="preserve">    phi1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dlnorm</w:t>
      </w:r>
      <w:r>
        <w:rPr>
          <w:rStyle w:val="NormalTok"/>
        </w:rPr>
        <w:t xml:space="preserve">(x[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s)</w:t>
      </w:r>
      <w:r>
        <w:br/>
      </w:r>
      <w:r>
        <w:rPr>
          <w:rStyle w:val="NormalTok"/>
        </w:rPr>
        <w:t xml:space="preserve">    phi2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dlnorm</w:t>
      </w:r>
      <w:r>
        <w:rPr>
          <w:rStyle w:val="NormalTok"/>
        </w:rPr>
        <w:t xml:space="preserve">(x[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s)</w:t>
      </w:r>
      <w:r>
        <w:br/>
      </w:r>
      <w:r>
        <w:rPr>
          <w:rStyle w:val="NormalTok"/>
        </w:rPr>
        <w:t xml:space="preserve">    phi3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dlnorm</w:t>
      </w:r>
      <w:r>
        <w:rPr>
          <w:rStyle w:val="NormalTok"/>
        </w:rPr>
        <w:t xml:space="preserve">(x[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s)</w:t>
      </w:r>
      <w:r>
        <w:br/>
      </w:r>
      <w:r>
        <w:rPr>
          <w:rStyle w:val="NormalTok"/>
        </w:rPr>
        <w:t xml:space="preserve">    phi4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dlnorm</w:t>
      </w:r>
      <w:r>
        <w:rPr>
          <w:rStyle w:val="NormalTok"/>
        </w:rPr>
        <w:t xml:space="preserve">(x[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s)</w:t>
      </w:r>
      <w:r>
        <w:br/>
      </w:r>
      <w:r>
        <w:rPr>
          <w:rStyle w:val="NormalTok"/>
        </w:rPr>
        <w:t xml:space="preserve">    phi5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dlnorm</w:t>
      </w:r>
      <w:r>
        <w:rPr>
          <w:rStyle w:val="NormalTok"/>
        </w:rPr>
        <w:t xml:space="preserve">(x[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pi</w:t>
      </w:r>
      <w:r>
        <w:rPr>
          <w:rStyle w:val="NormalTok"/>
        </w:rPr>
        <w:t xml:space="preserve">(s)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phi1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phi2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phi3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phi4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phi5</w:t>
      </w:r>
      <w:r>
        <w:br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A plot of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</m:oMath>
      <w:r>
        <w:t xml:space="preserve"> </w:t>
      </w:r>
      <w:r>
        <w:t xml:space="preserve">is shown below. The plot shows that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</m:oMath>
      <w:r>
        <w:t xml:space="preserve"> </w:t>
      </w:r>
      <w:r>
        <w:t xml:space="preserve">is</w:t>
      </w:r>
      <w:r>
        <w:t xml:space="preserve"> </w:t>
      </w:r>
      <w:r>
        <w:t xml:space="preserve">unimodal, with a maximum at</w:t>
      </w:r>
      <w:r>
        <w:t xml:space="preserve"> </w:t>
      </w:r>
      <m:oMath>
        <m:r>
          <m:t>s</m:t>
        </m:r>
        <m:r>
          <m:rPr>
            <m:sty m:val="p"/>
          </m:rPr>
          <m:t>≈</m:t>
        </m:r>
        <m:r>
          <m:t>1</m:t>
        </m:r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(s, </w:t>
      </w:r>
      <w:r>
        <w:rPr>
          <w:rStyle w:val="FunctionTok"/>
        </w:rPr>
        <w:t xml:space="preserve">tilde.f</w:t>
      </w:r>
      <w:r>
        <w:rPr>
          <w:rStyle w:val="NormalTok"/>
        </w:rPr>
        <w:t xml:space="preserve">(s),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tilde</w:t>
      </w:r>
      <w:r>
        <w:rPr>
          <w:rStyle w:val="NormalTok"/>
        </w:rPr>
        <w:t xml:space="preserve">(f)(s)))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pra_files/figure-docx/unnamed-chunk-11-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 implement envelope rejection sampling, we need to choose a proposal density</w:t>
      </w:r>
      <w:r>
        <w:br/>
      </w:r>
      <m:oMath>
        <m:r>
          <m:t>g</m:t>
        </m:r>
      </m:oMath>
      <w:r>
        <w:t xml:space="preserve"> </w:t>
      </w:r>
      <w:r>
        <w:t xml:space="preserve">which is easy to sample from, and such that we can find a constant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with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  <m:r>
          <m:rPr>
            <m:sty m:val="p"/>
          </m:rPr>
          <m:t>≤</m:t>
        </m:r>
        <m:r>
          <m:t>c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</m:oMath>
      <w:r>
        <w:t xml:space="preserve"> </w:t>
      </w:r>
      <w:r>
        <w:t xml:space="preserve">for all</w:t>
      </w:r>
      <w:r>
        <w:t xml:space="preserve"> </w:t>
      </w:r>
      <m:oMath>
        <m:r>
          <m:t>s</m:t>
        </m:r>
        <m:r>
          <m:rPr>
            <m:sty m:val="p"/>
          </m:rPr>
          <m:t>≥</m:t>
        </m:r>
        <m:r>
          <m:t>0</m:t>
        </m:r>
      </m:oMath>
      <w:r>
        <w:t xml:space="preserve">. The method is most efficient if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large. To achieve this, we should choose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to be approximately</w:t>
      </w:r>
      <w:r>
        <w:t xml:space="preserve"> </w:t>
      </w:r>
      <w:r>
        <w:t xml:space="preserve">proportional to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</m:oMath>
      <w:r>
        <w:t xml:space="preserve">, and in particular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</m:oMath>
      <w:r>
        <w:t xml:space="preserve"> </w:t>
      </w:r>
      <w:r>
        <w:t xml:space="preserve">should be large for</w:t>
      </w:r>
      <w:r>
        <w:t xml:space="preserve"> </w:t>
      </w:r>
      <m:oMath>
        <m:r>
          <m:t>s</m:t>
        </m:r>
        <m:r>
          <m:rPr>
            <m:sty m:val="p"/>
          </m:rPr>
          <m:t>≈</m:t>
        </m:r>
        <m:r>
          <m:t>1</m:t>
        </m:r>
      </m:oMath>
      <w:r>
        <w:t xml:space="preserve">. Also,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must have heavy enough tails to cover the tails</w:t>
      </w:r>
      <w:r>
        <w:t xml:space="preserve"> </w:t>
      </w:r>
      <w:r>
        <w:t xml:space="preserve">of </w:t>
      </w:r>
      <m:oMath>
        <m:acc>
          <m:accPr>
            <m:chr m:val="̃"/>
          </m:accPr>
          <m:e>
            <m:r>
              <m:t>f</m:t>
            </m:r>
          </m:e>
        </m:acc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Attempt 1:</w:t>
      </w:r>
      <w:r>
        <w:t xml:space="preserve"> </w:t>
      </w:r>
      <w:r>
        <w:t xml:space="preserve">Use</w:t>
      </w:r>
      <w:r>
        <w:t xml:space="preserve"> </w:t>
      </w:r>
      <m:oMath>
        <m:r>
          <m:rPr>
            <m:sty m:val="p"/>
            <m:scr m:val="script"/>
          </m:rPr>
          <m:t>N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-distributed proposals.</w:t>
      </w:r>
    </w:p>
    <w:p>
      <w:pPr>
        <w:pStyle w:val="SourceCode"/>
      </w:pPr>
      <w:r>
        <w:rPr>
          <w:rStyle w:val="NormalTok"/>
        </w:rPr>
        <w:t xml:space="preserve">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(s, </w:t>
      </w:r>
      <w:r>
        <w:rPr>
          <w:rStyle w:val="FunctionTok"/>
        </w:rPr>
        <w:t xml:space="preserve">tilde.f</w:t>
      </w:r>
      <w:r>
        <w:rPr>
          <w:rStyle w:val="NormalTok"/>
        </w:rPr>
        <w:t xml:space="preserve">(s)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(s,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tilde</w:t>
      </w:r>
      <w:r>
        <w:rPr>
          <w:rStyle w:val="NormalTok"/>
        </w:rPr>
        <w:t xml:space="preserve">(f)(s)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g</w:t>
      </w:r>
      <w:r>
        <w:rPr>
          <w:rStyle w:val="NormalTok"/>
        </w:rPr>
        <w:t xml:space="preserve">(s)))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pra_files/figure-docx/unnamed-chunk-12-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does not work: the ratio starts increasing as</w:t>
      </w:r>
      <w:r>
        <w:t xml:space="preserve"> </w:t>
      </w:r>
      <m:oMath>
        <m:r>
          <m:t>s</m:t>
        </m:r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t xml:space="preserve"> </w:t>
      </w:r>
      <w:r>
        <w:t xml:space="preserve">and clearly</w:t>
      </w:r>
      <w:r>
        <w:t xml:space="preserve"> </w:t>
      </w:r>
      <w:r>
        <w:t xml:space="preserve">is not bounded:</w:t>
      </w:r>
      <w:r>
        <w:t xml:space="preserve"> </w:t>
      </w:r>
      <w:r>
        <w:t xml:space="preserve">the tails of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</m:oMath>
      <w:r>
        <w:t xml:space="preserve"> </w:t>
      </w:r>
      <w:r>
        <w:t xml:space="preserve">are `heavier’ than these of a normal distribution.</w:t>
      </w:r>
      <w:r>
        <w:t xml:space="preserve"> </w:t>
      </w:r>
      <w:r>
        <w:t xml:space="preserve">(Closer inspection of the formula for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</m:oMath>
      <w:r>
        <w:t xml:space="preserve"> </w:t>
      </w:r>
      <w:r>
        <w:t xml:space="preserve">reveals that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  <m:r>
          <m:rPr>
            <m:sty m:val="p"/>
          </m:rPr>
          <m:t>∝</m:t>
        </m:r>
        <m:r>
          <m:rPr>
            <m:sty m:val="p"/>
          </m:rPr>
          <m:t>exp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s</m:t>
            </m:r>
          </m:e>
        </m:d>
        <m:r>
          <m:rPr>
            <m:sty m:val="p"/>
          </m:rPr>
          <m:t>/</m:t>
        </m:r>
        <m:sSup>
          <m:e>
            <m:r>
              <m:t>s</m:t>
            </m:r>
          </m:e>
          <m:sup>
            <m:r>
              <m:t>5</m:t>
            </m:r>
          </m:sup>
        </m:sSup>
      </m:oMath>
      <w:r>
        <w:t xml:space="preserve"> </w:t>
      </w:r>
      <w:r>
        <w:t xml:space="preserve">as</w:t>
      </w:r>
      <w:r>
        <w:t xml:space="preserve"> </w:t>
      </w:r>
      <m:oMath>
        <m:r>
          <m:t>s</m:t>
        </m:r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t xml:space="preserve">.)</w:t>
      </w:r>
    </w:p>
    <w:p>
      <w:pPr>
        <w:pStyle w:val="BodyText"/>
      </w:pPr>
      <w:r>
        <w:t xml:space="preserve">Possible choices of the proposal distribution include:</w:t>
      </w:r>
    </w:p>
    <w:p>
      <w:pPr>
        <w:pStyle w:val="Compact"/>
        <w:numPr>
          <w:ilvl w:val="0"/>
          <w:numId w:val="1003"/>
        </w:numPr>
      </w:pPr>
      <w:r>
        <w:t xml:space="preserve">Gamma distribution: To make sure that the gamma distribution</w:t>
      </w:r>
      <w:r>
        <w:t xml:space="preserve"> </w:t>
      </w:r>
      <w:r>
        <w:t xml:space="preserve">has heavy enough tails, we need</w:t>
      </w:r>
      <w:r>
        <w:t xml:space="preserve"> </w:t>
      </w:r>
      <m:oMath>
        <m:r>
          <m:rPr>
            <m:sty m:val="p"/>
          </m:rPr>
          <m:t>s</m:t>
        </m:r>
        <m:r>
          <m:rPr>
            <m:sty m:val="p"/>
          </m:rPr>
          <m:t>c</m:t>
        </m:r>
        <m:r>
          <m:rPr>
            <m:sty m:val="p"/>
          </m:rPr>
          <m:t>a</m:t>
        </m:r>
        <m:r>
          <m:rPr>
            <m:sty m:val="p"/>
          </m:rPr>
          <m:t>l</m:t>
        </m:r>
        <m:r>
          <m:rPr>
            <m:sty m:val="p"/>
          </m:rPr>
          <m:t>e</m:t>
        </m:r>
        <m:r>
          <m:rPr>
            <m:sty m:val="p"/>
          </m:rPr>
          <m:t>≤</m:t>
        </m:r>
        <m:r>
          <m:t>1</m:t>
        </m:r>
      </m:oMath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Exponential distribution: the rate must be</w:t>
      </w:r>
      <w:r>
        <w:t xml:space="preserve"> </w:t>
      </w:r>
      <m:oMath>
        <m:r>
          <m:t>λ</m:t>
        </m:r>
        <m:r>
          <m:rPr>
            <m:sty m:val="p"/>
          </m:rPr>
          <m:t>≤</m:t>
        </m:r>
        <m:r>
          <m:t>1</m:t>
        </m:r>
      </m:oMath>
      <w:r>
        <w:t xml:space="preserve">.</w:t>
      </w:r>
    </w:p>
    <w:p>
      <w:pPr>
        <w:pStyle w:val="FirstParagraph"/>
      </w:pPr>
      <w:r>
        <w:rPr>
          <w:b/>
          <w:bCs/>
        </w:rPr>
        <w:t xml:space="preserve">Attempt 2:</w:t>
      </w:r>
      <w:r>
        <w:t xml:space="preserve"> </w:t>
      </w:r>
      <w:r>
        <w:t xml:space="preserve">Use a Gamma distribution. After a bit of experimenting</w:t>
      </w:r>
      <w:r>
        <w:t xml:space="preserve"> </w:t>
      </w:r>
      <w:r>
        <w:t xml:space="preserve">we choose</w:t>
      </w:r>
      <w:r>
        <w:t xml:space="preserve"> </w:t>
      </w:r>
      <m:oMath>
        <m:r>
          <m:rPr>
            <m:sty m:val="p"/>
          </m:rPr>
          <m:t>s</m:t>
        </m:r>
        <m:r>
          <m:rPr>
            <m:sty m:val="p"/>
          </m:rPr>
          <m:t>h</m:t>
        </m:r>
        <m:r>
          <m:rPr>
            <m:sty m:val="p"/>
          </m:rPr>
          <m:t>a</m:t>
        </m:r>
        <m:r>
          <m:rPr>
            <m:sty m:val="p"/>
          </m:rPr>
          <m:t>p</m:t>
        </m:r>
        <m:r>
          <m:rPr>
            <m:sty m:val="p"/>
          </m:rPr>
          <m:t>e</m:t>
        </m:r>
        <m:r>
          <m:rPr>
            <m:sty m:val="p"/>
          </m:rPr>
          <m:t>=</m:t>
        </m:r>
        <m:r>
          <m:t>1.5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s</m:t>
        </m:r>
        <m:r>
          <m:rPr>
            <m:sty m:val="p"/>
          </m:rPr>
          <m:t>c</m:t>
        </m:r>
        <m:r>
          <m:rPr>
            <m:sty m:val="p"/>
          </m:rPr>
          <m:t>a</m:t>
        </m:r>
        <m:r>
          <m:rPr>
            <m:sty m:val="p"/>
          </m:rPr>
          <m:t>l</m:t>
        </m:r>
        <m:r>
          <m:rPr>
            <m:sty m:val="p"/>
          </m:rPr>
          <m:t>e</m:t>
        </m:r>
        <m:r>
          <m:rPr>
            <m:sty m:val="p"/>
          </m:rPr>
          <m:t>=</m:t>
        </m:r>
        <m:r>
          <m:t>1</m:t>
        </m:r>
      </m:oMath>
      <w:r>
        <w:t xml:space="preserve">, to get</w:t>
      </w:r>
      <w:r>
        <w:t xml:space="preserve"> </w:t>
      </w:r>
      <w:r>
        <w:t xml:space="preserve">a reasonably small value of</w:t>
      </w:r>
      <w:r>
        <w:t xml:space="preserve"> </w:t>
      </w:r>
      <m:oMath>
        <m:r>
          <m:t>c</m:t>
        </m:r>
      </m:oMath>
      <w:r>
        <w:t xml:space="preserve">. The following plot shows</w:t>
      </w:r>
      <w:r>
        <w:t xml:space="preserve"> </w:t>
      </w:r>
      <w:r>
        <w:t xml:space="preserve">that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  <m:r>
          <m:rPr>
            <m:sty m:val="p"/>
          </m:rPr>
          <m:t>/</m:t>
        </m:r>
        <m:r>
          <m:t>g</m:t>
        </m:r>
      </m:oMath>
      <w:r>
        <w:t xml:space="preserve"> </w:t>
      </w:r>
      <w:r>
        <w:t xml:space="preserve">seems to be bounded by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0.00028</m:t>
        </m:r>
      </m:oMath>
      <w:r>
        <w:t xml:space="preserve">. (To allow</w:t>
      </w:r>
      <w:r>
        <w:t xml:space="preserve"> </w:t>
      </w:r>
      <w:r>
        <w:t xml:space="preserve">for numerical error, we leave a small gap between the bound</w:t>
      </w:r>
      <w:r>
        <w:t xml:space="preserve"> </w:t>
      </w:r>
      <w:r>
        <w:t xml:space="preserve">and the numerical ratio.)</w:t>
      </w:r>
    </w:p>
    <w:p>
      <w:pPr>
        <w:pStyle w:val="SourceCode"/>
      </w:pPr>
      <w:r>
        <w:rPr>
          <w:rStyle w:val="NormalTok"/>
        </w:rPr>
        <w:t xml:space="preserve">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(s, </w:t>
      </w:r>
      <w:r>
        <w:rPr>
          <w:rStyle w:val="FunctionTok"/>
        </w:rPr>
        <w:t xml:space="preserve">tilde.f</w:t>
      </w:r>
      <w:r>
        <w:rPr>
          <w:rStyle w:val="NormalTok"/>
        </w:rPr>
        <w:t xml:space="preserve">(s)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dgamma</w:t>
      </w:r>
      <w:r>
        <w:rPr>
          <w:rStyle w:val="NormalTok"/>
        </w:rPr>
        <w:t xml:space="preserve">(s,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0.0003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tilde</w:t>
      </w:r>
      <w:r>
        <w:rPr>
          <w:rStyle w:val="NormalTok"/>
        </w:rPr>
        <w:t xml:space="preserve">(f)(s)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g</w:t>
      </w:r>
      <w:r>
        <w:rPr>
          <w:rStyle w:val="NormalTok"/>
        </w:rPr>
        <w:t xml:space="preserve">(s)))</w:t>
      </w:r>
      <w:r>
        <w:br/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0.00028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c,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pra_files/figure-docx/unnamed-chunk-13-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 we can implement envelope rejection sampling:</w:t>
      </w:r>
    </w:p>
    <w:p>
      <w:pPr>
        <w:pStyle w:val="SourceCode"/>
      </w:pP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10000</w:t>
      </w:r>
      <w:r>
        <w:br/>
      </w:r>
      <w:r>
        <w:rPr>
          <w:rStyle w:val="NormalTok"/>
        </w:rPr>
        <w:t xml:space="preserve">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(S)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N) {</w:t>
      </w:r>
      <w:r>
        <w:br/>
      </w:r>
      <w:r>
        <w:rPr>
          <w:rStyle w:val="NormalTok"/>
        </w:rPr>
        <w:t xml:space="preserve">    prop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rgamma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U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(c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dgamma</w:t>
      </w:r>
      <w:r>
        <w:rPr>
          <w:rStyle w:val="NormalTok"/>
        </w:rPr>
        <w:t xml:space="preserve">(prop,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U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tilde.f</w:t>
      </w:r>
      <w:r>
        <w:rPr>
          <w:rStyle w:val="NormalTok"/>
        </w:rPr>
        <w:t xml:space="preserve">(prop)) {</w:t>
      </w:r>
      <w:r>
        <w:br/>
      </w:r>
      <w:r>
        <w:rPr>
          <w:rStyle w:val="NormalTok"/>
        </w:rPr>
        <w:t xml:space="preserve">        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(S, prop)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We plot a histogram of the samples together with the non-normalised</w:t>
      </w:r>
      <w:r>
        <w:t xml:space="preserve"> </w:t>
      </w:r>
      <w:r>
        <w:t xml:space="preserve">density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</m:oMath>
      <w:r>
        <w:t xml:space="preserve">. Since the histogram has the same shape as the graph</w:t>
      </w:r>
      <w:r>
        <w:t xml:space="preserve"> </w:t>
      </w:r>
      <w:r>
        <w:t xml:space="preserve">of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</m:oMath>
      <w:r>
        <w:t xml:space="preserve">, hopefully our implementation is correct.</w:t>
      </w:r>
    </w:p>
    <w:p>
      <w:pPr>
        <w:pStyle w:val="SourceCode"/>
      </w:pPr>
      <w:r>
        <w:rPr>
          <w:rStyle w:val="NormalTok"/>
        </w:rPr>
        <w:t xml:space="preserve">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mai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(s, </w:t>
      </w:r>
      <w:r>
        <w:rPr>
          <w:rStyle w:val="FunctionTok"/>
        </w:rPr>
        <w:t xml:space="preserve">tilde.f</w:t>
      </w:r>
      <w:r>
        <w:rPr>
          <w:rStyle w:val="NormalTok"/>
        </w:rPr>
        <w:t xml:space="preserve">(s),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tilde</w:t>
      </w:r>
      <w:r>
        <w:rPr>
          <w:rStyle w:val="NormalTok"/>
        </w:rPr>
        <w:t xml:space="preserve">(f)(s)))</w:t>
      </w:r>
      <w:r>
        <w:br/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(S, </w:t>
      </w:r>
      <w:r>
        <w:rPr>
          <w:rStyle w:val="AttributeTok"/>
        </w:rPr>
        <w:t xml:space="preserve">prob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breaks=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pra_files/figure-docx/unnamed-chunk-15-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 compare the posterior to the prior we can either compare the densities,</w:t>
      </w:r>
      <w:r>
        <w:t xml:space="preserve"> </w:t>
      </w:r>
      <w:r>
        <w:t xml:space="preserve">or the histograms.</w:t>
      </w:r>
    </w:p>
    <w:p>
      <w:pPr>
        <w:pStyle w:val="SourceCode"/>
      </w:pPr>
      <w:r>
        <w:rPr>
          <w:rStyle w:val="NormalTok"/>
        </w:rPr>
        <w:t xml:space="preserve">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mai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(s, </w:t>
      </w:r>
      <w:r>
        <w:rPr>
          <w:rStyle w:val="FunctionTok"/>
        </w:rPr>
        <w:t xml:space="preserve">pi</w:t>
      </w:r>
      <w:r>
        <w:rPr>
          <w:rStyle w:val="NormalTok"/>
        </w:rPr>
        <w:t xml:space="preserve">(s),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pi</w:t>
      </w:r>
      <w:r>
        <w:rPr>
          <w:rStyle w:val="NormalTok"/>
        </w:rPr>
        <w:t xml:space="preserve">(s)))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(s, </w:t>
      </w:r>
      <w:r>
        <w:rPr>
          <w:rStyle w:val="FunctionTok"/>
        </w:rPr>
        <w:t xml:space="preserve">tilde.f</w:t>
      </w:r>
      <w:r>
        <w:rPr>
          <w:rStyle w:val="NormalTok"/>
        </w:rPr>
        <w:t xml:space="preserve">(s),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tilde</w:t>
      </w:r>
      <w:r>
        <w:rPr>
          <w:rStyle w:val="NormalTok"/>
        </w:rPr>
        <w:t xml:space="preserve">(f)(s)))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pra_files/figure-docx/unnamed-chunk-16-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mai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rexp</w:t>
      </w:r>
      <w:r>
        <w:rPr>
          <w:rStyle w:val="NormalTok"/>
        </w:rPr>
        <w:t xml:space="preserve">(N)</w:t>
      </w:r>
      <w:r>
        <w:br/>
      </w:r>
      <w:r>
        <w:rPr>
          <w:rStyle w:val="NormalTok"/>
        </w:rPr>
        <w:t xml:space="preserve">breaks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(S0)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(S0, </w:t>
      </w:r>
      <w:r>
        <w:rPr>
          <w:rStyle w:val="AttributeTok"/>
        </w:rPr>
        <w:t xml:space="preserve">breaks=</w:t>
      </w:r>
      <w:r>
        <w:rPr>
          <w:rStyle w:val="NormalTok"/>
        </w:rPr>
        <w:t xml:space="preserve">breaks, </w:t>
      </w:r>
      <w:r>
        <w:rPr>
          <w:rStyle w:val="AttributeTok"/>
        </w:rPr>
        <w:t xml:space="preserve">prob=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"prior"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(S, </w:t>
      </w:r>
      <w:r>
        <w:rPr>
          <w:rStyle w:val="AttributeTok"/>
        </w:rPr>
        <w:t xml:space="preserve">breaks=</w:t>
      </w:r>
      <w:r>
        <w:rPr>
          <w:rStyle w:val="NormalTok"/>
        </w:rPr>
        <w:t xml:space="preserve">breaks, </w:t>
      </w:r>
      <w:r>
        <w:rPr>
          <w:rStyle w:val="AttributeTok"/>
        </w:rPr>
        <w:t xml:space="preserve">prob=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"posterior"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pra_files/figure-docx/unnamed-chunk-17-1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Both sets of pictures show that the posterior is much more concentrated than</w:t>
      </w:r>
      <w:r>
        <w:t xml:space="preserve"> </w:t>
      </w:r>
      <w:r>
        <w:t xml:space="preserve">the prior. This is, because the posterior includes additional information</w:t>
      </w:r>
      <w:r>
        <w:t xml:space="preserve"> </w:t>
      </w:r>
      <w:r>
        <w:t xml:space="preserve">about</w:t>
      </w:r>
      <w:r>
        <w:t xml:space="preserve"> </w:t>
      </w:r>
      <m:oMath>
        <m:r>
          <m:t>σ</m:t>
        </m:r>
      </m:oMath>
      <w:r>
        <w:t xml:space="preserve"> </w:t>
      </w:r>
      <w:r>
        <w:t xml:space="preserve">from the observations.</w:t>
      </w:r>
    </w:p>
    <w:p>
      <w:pPr>
        <w:pStyle w:val="BodyText"/>
      </w:pPr>
      <w:r>
        <w:t xml:space="preserve">Alternatively, one could also compare the distributions using</w:t>
      </w:r>
      <w:r>
        <w:t xml:space="preserve"> </w:t>
      </w:r>
      <w:r>
        <w:t xml:space="preserve">statistical measures like the mean and the variance.</w:t>
      </w:r>
    </w:p>
    <w:p>
      <w:pPr>
        <w:pStyle w:val="BodyText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p>
      <w:pPr>
        <w:pStyle w:val="FirstParagraph"/>
      </w:pPr>
      <w:r>
        <w:rPr>
          <w:b/>
          <w:bCs/>
        </w:rPr>
        <w:t xml:space="preserve">Marking Criteria:</w:t>
      </w:r>
    </w:p>
    <w:p>
      <w:pPr>
        <w:pStyle w:val="Compact"/>
        <w:numPr>
          <w:ilvl w:val="0"/>
          <w:numId w:val="1004"/>
        </w:numPr>
      </w:pPr>
      <w:r>
        <w:t xml:space="preserve">The plot of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</m:oMath>
      <w:r>
        <w:t xml:space="preserve"> </w:t>
      </w:r>
      <w:r>
        <w:t xml:space="preserve">is correct and has reasonable labels.</w:t>
      </w:r>
    </w:p>
    <w:p>
      <w:pPr>
        <w:pStyle w:val="Compact"/>
        <w:numPr>
          <w:ilvl w:val="0"/>
          <w:numId w:val="1004"/>
        </w:numPr>
      </w:pPr>
      <m:oMath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are chosen appropriately.</w:t>
      </w:r>
    </w:p>
    <w:p>
      <w:pPr>
        <w:pStyle w:val="Compact"/>
        <w:numPr>
          <w:ilvl w:val="0"/>
          <w:numId w:val="1004"/>
        </w:numPr>
      </w:pPr>
      <w:r>
        <w:t xml:space="preserve">In case problems with the tails have been overlooked,</w:t>
      </w:r>
      <w:r>
        <w:t xml:space="preserve"> </w:t>
      </w:r>
      <w:r>
        <w:t xml:space="preserve">any resulting discrepancies have been noticed.</w:t>
      </w:r>
    </w:p>
    <w:p>
      <w:pPr>
        <w:pStyle w:val="Compact"/>
        <w:numPr>
          <w:ilvl w:val="0"/>
          <w:numId w:val="1004"/>
        </w:numPr>
      </w:pPr>
      <w:r>
        <w:t xml:space="preserve">Envelope Rejection Sampling has been implemented correctly.</w:t>
      </w:r>
    </w:p>
    <w:p>
      <w:pPr>
        <w:pStyle w:val="Compact"/>
        <w:numPr>
          <w:ilvl w:val="0"/>
          <w:numId w:val="1004"/>
        </w:numPr>
      </w:pPr>
      <w:r>
        <w:t xml:space="preserve">The histogram of the generated samples is correct and has reasonable labels.</w:t>
      </w:r>
    </w:p>
    <w:p>
      <w:pPr>
        <w:pStyle w:val="Compact"/>
        <w:numPr>
          <w:ilvl w:val="0"/>
          <w:numId w:val="1004"/>
        </w:numPr>
      </w:pPr>
      <w:r>
        <w:t xml:space="preserve">There is some meaningful comparison between the prior and posterior.</w:t>
      </w:r>
    </w:p>
    <w:bookmarkEnd w:id="4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b/>
      <w:color w:val="204a87"/>
      <w:shd w:val="clear" w:fill="f8f8f8"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b/>
      <w:color w:val="ce5c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i/>
      <w:color w:val="8f5902"/>
      <w:shd w:val="clear" w:fill="f8f8f8"/>
    </w:rPr>
  </w:style>
  <w:style w:type="character" w:customStyle="1" w:styleId="DocumentationTok">
    <w:name w:val="DocumentationTok"/>
    <w:basedOn w:val="VerbatimChar"/>
    <w:rPr>
      <w:b/>
      <w:i/>
      <w:color w:val="8f5902"/>
      <w:shd w:val="clear" w:fill="f8f8f8"/>
    </w:rPr>
  </w:style>
  <w:style w:type="character" w:customStyle="1" w:styleId="AnnotationTok">
    <w:name w:val="AnnotationTok"/>
    <w:basedOn w:val="VerbatimChar"/>
    <w:rPr>
      <w:b/>
      <w:i/>
      <w:color w:val="8f5902"/>
      <w:shd w:val="clear" w:fill="f8f8f8"/>
    </w:rPr>
  </w:style>
  <w:style w:type="character" w:customStyle="1" w:styleId="CommentVarTok">
    <w:name w:val="CommentVarTok"/>
    <w:basedOn w:val="VerbatimChar"/>
    <w:rPr>
      <w:b/>
      <w:i/>
      <w:color w:val="8f5902"/>
      <w:shd w:val="clear" w:fill="f8f8f8"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b/>
      <w:color w:val="204a87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b/>
      <w:color w:val="204a87"/>
      <w:shd w:val="clear" w:fill="f8f8f8"/>
    </w:rPr>
  </w:style>
  <w:style w:type="character" w:customStyle="1" w:styleId="OperatorTok">
    <w:name w:val="OperatorTok"/>
    <w:basedOn w:val="VerbatimChar"/>
    <w:rPr>
      <w:b/>
      <w:color w:val="ce5c00"/>
      <w:shd w:val="clear" w:fill="f8f8f8"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i/>
      <w:color w:val="8f5902"/>
      <w:shd w:val="clear" w:fill="f8f8f8"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b/>
      <w:i/>
      <w:color w:val="8f5902"/>
      <w:shd w:val="clear" w:fill="f8f8f8"/>
    </w:rPr>
  </w:style>
  <w:style w:type="character" w:customStyle="1" w:styleId="WarningTok">
    <w:name w:val="WarningTok"/>
    <w:basedOn w:val="VerbatimChar"/>
    <w:rPr>
      <w:b/>
      <w:i/>
      <w:color w:val="8f5902"/>
      <w:shd w:val="clear" w:fill="f8f8f8"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b/>
      <w:color w:val="a40000"/>
      <w:shd w:val="clear" w:fill="f8f8f8"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MATH5835M Practical Solutions</dc:title>
  <dc:creator>Jochen Voss</dc:creator>
  <cp:keywords/>
  <dcterms:created xsi:type="dcterms:W3CDTF">2024-02-02T12:45:20Z</dcterms:created>
  <dcterms:modified xsi:type="dcterms:W3CDTF">2024-02-02T12:45:20Z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2023-12-12</vt:lpwstr>
  </property>
  <property fmtid="{D5CDD505-2E9C-101B-9397-08002B2CF9AE}" pid="3" name="output">
    <vt:lpwstr/>
  </property>
</Properties>
</file>